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CBEDE" w14:textId="77777777" w:rsidR="003A2B94" w:rsidRDefault="003A2B94" w:rsidP="003A2B94">
      <w:pPr>
        <w:jc w:val="center"/>
        <w:rPr>
          <w:b/>
          <w:bCs/>
          <w:sz w:val="24"/>
          <w:szCs w:val="24"/>
        </w:rPr>
      </w:pPr>
      <w:r>
        <w:rPr>
          <w:b/>
          <w:bCs/>
          <w:sz w:val="24"/>
          <w:szCs w:val="24"/>
        </w:rPr>
        <w:t xml:space="preserve">ASCC Arts and Humanities 2 Panel </w:t>
      </w:r>
    </w:p>
    <w:p w14:paraId="5FB31892" w14:textId="5FC70987" w:rsidR="003A2B94" w:rsidRDefault="008E0B02" w:rsidP="003A2B94">
      <w:pPr>
        <w:jc w:val="center"/>
        <w:rPr>
          <w:sz w:val="24"/>
          <w:szCs w:val="24"/>
        </w:rPr>
      </w:pPr>
      <w:r>
        <w:rPr>
          <w:sz w:val="24"/>
          <w:szCs w:val="24"/>
        </w:rPr>
        <w:t>Approved</w:t>
      </w:r>
      <w:r w:rsidR="003A2B94">
        <w:rPr>
          <w:sz w:val="24"/>
          <w:szCs w:val="24"/>
        </w:rPr>
        <w:t xml:space="preserve"> Minutes</w:t>
      </w:r>
    </w:p>
    <w:p w14:paraId="74C295A4" w14:textId="70ADFCAC" w:rsidR="003A2B94" w:rsidRDefault="003A2B94" w:rsidP="003A2B94">
      <w:pPr>
        <w:rPr>
          <w:sz w:val="24"/>
          <w:szCs w:val="24"/>
        </w:rPr>
      </w:pPr>
      <w:r>
        <w:rPr>
          <w:sz w:val="24"/>
          <w:szCs w:val="24"/>
        </w:rPr>
        <w:t>Wednesday, November 9, 2022</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9:30 AM – 11:00 AM</w:t>
      </w:r>
    </w:p>
    <w:p w14:paraId="67F3B767" w14:textId="77777777" w:rsidR="003A2B94" w:rsidRDefault="003A2B94" w:rsidP="003A2B94">
      <w:pPr>
        <w:rPr>
          <w:sz w:val="24"/>
          <w:szCs w:val="24"/>
        </w:rPr>
      </w:pPr>
      <w:r>
        <w:rPr>
          <w:sz w:val="24"/>
          <w:szCs w:val="24"/>
        </w:rPr>
        <w:t>CarmenZoom</w:t>
      </w:r>
    </w:p>
    <w:p w14:paraId="0BCFC9F4" w14:textId="77777777" w:rsidR="003A2B94" w:rsidRDefault="003A2B94" w:rsidP="003A2B94">
      <w:pPr>
        <w:rPr>
          <w:sz w:val="24"/>
          <w:szCs w:val="24"/>
        </w:rPr>
      </w:pPr>
      <w:r>
        <w:rPr>
          <w:b/>
          <w:bCs/>
          <w:sz w:val="24"/>
          <w:szCs w:val="24"/>
        </w:rPr>
        <w:t>Attendees</w:t>
      </w:r>
      <w:r>
        <w:rPr>
          <w:sz w:val="24"/>
          <w:szCs w:val="24"/>
        </w:rPr>
        <w:t>:  Bitters, Cody, Diles, Hilty, Paulsen, Romero, Smith, Steinmetz, Vankeerbergen</w:t>
      </w:r>
    </w:p>
    <w:p w14:paraId="3D835FD2" w14:textId="77777777" w:rsidR="003A2B94" w:rsidRDefault="003A2B94" w:rsidP="003A2B94">
      <w:pPr>
        <w:rPr>
          <w:b/>
          <w:bCs/>
          <w:sz w:val="24"/>
          <w:szCs w:val="24"/>
        </w:rPr>
      </w:pPr>
      <w:r>
        <w:rPr>
          <w:b/>
          <w:bCs/>
          <w:sz w:val="24"/>
          <w:szCs w:val="24"/>
        </w:rPr>
        <w:t>Agenda</w:t>
      </w:r>
    </w:p>
    <w:p w14:paraId="73FFCE62" w14:textId="7838AC2D" w:rsidR="003A2B94" w:rsidRDefault="003A2B94" w:rsidP="003A2B94">
      <w:pPr>
        <w:numPr>
          <w:ilvl w:val="0"/>
          <w:numId w:val="5"/>
        </w:numPr>
        <w:rPr>
          <w:sz w:val="24"/>
          <w:szCs w:val="24"/>
        </w:rPr>
      </w:pPr>
      <w:r>
        <w:rPr>
          <w:sz w:val="24"/>
          <w:szCs w:val="24"/>
        </w:rPr>
        <w:t>Approval of 10/12/22 &amp; 10/26/22 minutes</w:t>
      </w:r>
    </w:p>
    <w:p w14:paraId="0416C114" w14:textId="1B4EF4DF" w:rsidR="00CF472C" w:rsidRPr="003A2B94" w:rsidRDefault="003A2B94" w:rsidP="003A2B94">
      <w:pPr>
        <w:numPr>
          <w:ilvl w:val="1"/>
          <w:numId w:val="5"/>
        </w:numPr>
        <w:rPr>
          <w:sz w:val="24"/>
          <w:szCs w:val="24"/>
        </w:rPr>
      </w:pPr>
      <w:r>
        <w:rPr>
          <w:sz w:val="24"/>
          <w:szCs w:val="24"/>
        </w:rPr>
        <w:t xml:space="preserve">Steinmetz, Diles; </w:t>
      </w:r>
      <w:r>
        <w:rPr>
          <w:b/>
          <w:bCs/>
          <w:sz w:val="24"/>
          <w:szCs w:val="24"/>
        </w:rPr>
        <w:t>unanimously approved</w:t>
      </w:r>
    </w:p>
    <w:p w14:paraId="46CB9060" w14:textId="4BA7E470" w:rsidR="00CF472C" w:rsidRDefault="00CF472C" w:rsidP="003A2B94">
      <w:pPr>
        <w:numPr>
          <w:ilvl w:val="0"/>
          <w:numId w:val="5"/>
        </w:numPr>
        <w:rPr>
          <w:sz w:val="24"/>
          <w:szCs w:val="24"/>
        </w:rPr>
      </w:pPr>
      <w:r w:rsidRPr="00CF472C">
        <w:rPr>
          <w:sz w:val="24"/>
          <w:szCs w:val="24"/>
        </w:rPr>
        <w:t>Engineering 1300 (new course requesting GEN Foundation: Writing and Information Literacy) (return)</w:t>
      </w:r>
    </w:p>
    <w:p w14:paraId="6D032CB6" w14:textId="07D21F8D" w:rsidR="00C0343B" w:rsidRPr="00721456" w:rsidRDefault="00FB4676" w:rsidP="00C96FBD">
      <w:pPr>
        <w:pStyle w:val="ListParagraph"/>
        <w:numPr>
          <w:ilvl w:val="0"/>
          <w:numId w:val="7"/>
        </w:numPr>
        <w:autoSpaceDE w:val="0"/>
        <w:autoSpaceDN w:val="0"/>
        <w:spacing w:after="0" w:line="240" w:lineRule="auto"/>
        <w:rPr>
          <w:rFonts w:cstheme="minorHAnsi"/>
          <w:i/>
          <w:iCs/>
          <w:color w:val="000000"/>
          <w:sz w:val="24"/>
          <w:szCs w:val="24"/>
        </w:rPr>
      </w:pPr>
      <w:r w:rsidRPr="00721456">
        <w:rPr>
          <w:rFonts w:cstheme="minorHAnsi"/>
          <w:i/>
          <w:iCs/>
          <w:sz w:val="24"/>
          <w:szCs w:val="24"/>
        </w:rPr>
        <w:t xml:space="preserve">The Panel recommends clarifying in the syllabus how the course ELOs (found on page 1) correspond with the WIL ELOs (found on pages 1-2) by providing an explanatory paragraph directly following the </w:t>
      </w:r>
      <w:r w:rsidR="0022786C" w:rsidRPr="00721456">
        <w:rPr>
          <w:rFonts w:cstheme="minorHAnsi"/>
          <w:i/>
          <w:iCs/>
          <w:sz w:val="24"/>
          <w:szCs w:val="24"/>
        </w:rPr>
        <w:t xml:space="preserve">WIL ELOs; </w:t>
      </w:r>
      <w:r w:rsidR="00C0343B" w:rsidRPr="00721456">
        <w:rPr>
          <w:rFonts w:cstheme="minorHAnsi"/>
          <w:i/>
          <w:iCs/>
          <w:color w:val="000000"/>
          <w:sz w:val="24"/>
          <w:szCs w:val="24"/>
        </w:rPr>
        <w:t>although we see reference to the GE Goals/ELOs in the course description, a separate paragraph explicitly drawing the connection for students is strongly recommended per the ASCC requirements.</w:t>
      </w:r>
    </w:p>
    <w:p w14:paraId="2311063E" w14:textId="77777777" w:rsidR="00C96FBD" w:rsidRPr="00C96FBD" w:rsidRDefault="00C96FBD" w:rsidP="00C96FBD">
      <w:pPr>
        <w:pStyle w:val="ListParagraph"/>
        <w:autoSpaceDE w:val="0"/>
        <w:autoSpaceDN w:val="0"/>
        <w:spacing w:after="0" w:line="240" w:lineRule="auto"/>
        <w:ind w:left="1440"/>
        <w:rPr>
          <w:rFonts w:cstheme="minorHAnsi"/>
          <w:color w:val="000000"/>
          <w:sz w:val="24"/>
          <w:szCs w:val="24"/>
        </w:rPr>
      </w:pPr>
    </w:p>
    <w:p w14:paraId="6EC20EB4" w14:textId="0387F7C4" w:rsidR="00CF1285" w:rsidRPr="00C96FBD" w:rsidRDefault="00FE67B2" w:rsidP="00C96FBD">
      <w:pPr>
        <w:pStyle w:val="ListParagraph"/>
        <w:numPr>
          <w:ilvl w:val="0"/>
          <w:numId w:val="7"/>
        </w:numPr>
        <w:shd w:val="clear" w:color="auto" w:fill="FFFFFF"/>
        <w:spacing w:before="100" w:beforeAutospacing="1" w:after="100" w:afterAutospacing="1"/>
        <w:rPr>
          <w:rFonts w:eastAsia="Times New Roman" w:cstheme="minorHAnsi"/>
          <w:i/>
          <w:iCs/>
          <w:color w:val="000000"/>
          <w:sz w:val="24"/>
          <w:szCs w:val="24"/>
        </w:rPr>
      </w:pPr>
      <w:r w:rsidRPr="00C96FBD">
        <w:rPr>
          <w:rFonts w:cstheme="minorHAnsi"/>
          <w:i/>
          <w:iCs/>
          <w:sz w:val="24"/>
          <w:szCs w:val="24"/>
        </w:rPr>
        <w:t xml:space="preserve">On page 8 of the syllabus document, the Panel suggests </w:t>
      </w:r>
      <w:r w:rsidRPr="00C96FBD">
        <w:rPr>
          <w:rFonts w:eastAsia="Times New Roman" w:cstheme="minorHAnsi"/>
          <w:i/>
          <w:iCs/>
          <w:color w:val="000000"/>
          <w:sz w:val="24"/>
          <w:szCs w:val="24"/>
        </w:rPr>
        <w:t>amending the grading scale to say “grade of an E” instead of “F” to reflect the university’s official letter-grade system. </w:t>
      </w:r>
    </w:p>
    <w:p w14:paraId="0BE57142" w14:textId="252E03C0" w:rsidR="00091CD4" w:rsidRPr="00CF472C" w:rsidRDefault="003161BA" w:rsidP="003A2B94">
      <w:pPr>
        <w:numPr>
          <w:ilvl w:val="1"/>
          <w:numId w:val="5"/>
        </w:numPr>
        <w:rPr>
          <w:sz w:val="24"/>
          <w:szCs w:val="24"/>
        </w:rPr>
      </w:pPr>
      <w:r w:rsidRPr="00C96FBD">
        <w:rPr>
          <w:rFonts w:cstheme="minorHAnsi"/>
          <w:sz w:val="24"/>
          <w:szCs w:val="24"/>
        </w:rPr>
        <w:t>Steinmetz</w:t>
      </w:r>
      <w:r w:rsidR="00091CD4" w:rsidRPr="00C96FBD">
        <w:rPr>
          <w:rFonts w:cstheme="minorHAnsi"/>
          <w:sz w:val="24"/>
          <w:szCs w:val="24"/>
        </w:rPr>
        <w:t xml:space="preserve">, </w:t>
      </w:r>
      <w:r w:rsidRPr="00C96FBD">
        <w:rPr>
          <w:rFonts w:cstheme="minorHAnsi"/>
          <w:sz w:val="24"/>
          <w:szCs w:val="24"/>
        </w:rPr>
        <w:t>Paulsen</w:t>
      </w:r>
      <w:r w:rsidR="00091CD4" w:rsidRPr="00C96FBD">
        <w:rPr>
          <w:rFonts w:cstheme="minorHAnsi"/>
          <w:sz w:val="24"/>
          <w:szCs w:val="24"/>
        </w:rPr>
        <w:t xml:space="preserve">; </w:t>
      </w:r>
      <w:r w:rsidRPr="00C96FBD">
        <w:rPr>
          <w:rFonts w:cstheme="minorHAnsi"/>
          <w:b/>
          <w:bCs/>
          <w:sz w:val="24"/>
          <w:szCs w:val="24"/>
        </w:rPr>
        <w:t xml:space="preserve">unanimously approved </w:t>
      </w:r>
      <w:r w:rsidRPr="00C96FBD">
        <w:rPr>
          <w:rFonts w:cstheme="minorHAnsi"/>
          <w:sz w:val="24"/>
          <w:szCs w:val="24"/>
        </w:rPr>
        <w:t xml:space="preserve">with </w:t>
      </w:r>
      <w:r w:rsidRPr="00C96FBD">
        <w:rPr>
          <w:rFonts w:cstheme="minorHAnsi"/>
          <w:i/>
          <w:iCs/>
          <w:sz w:val="24"/>
          <w:szCs w:val="24"/>
        </w:rPr>
        <w:t>two (2) recommendations</w:t>
      </w:r>
      <w:r w:rsidRPr="00C96FBD">
        <w:rPr>
          <w:rFonts w:cstheme="minorHAnsi"/>
          <w:sz w:val="24"/>
          <w:szCs w:val="24"/>
        </w:rPr>
        <w:t xml:space="preserve"> (in italics</w:t>
      </w:r>
      <w:r>
        <w:rPr>
          <w:sz w:val="24"/>
          <w:szCs w:val="24"/>
        </w:rPr>
        <w:t xml:space="preserve"> above)</w:t>
      </w:r>
    </w:p>
    <w:p w14:paraId="0A6E89DF" w14:textId="190CC582" w:rsidR="00CF472C" w:rsidRDefault="00CF472C" w:rsidP="003A2B94">
      <w:pPr>
        <w:numPr>
          <w:ilvl w:val="0"/>
          <w:numId w:val="5"/>
        </w:numPr>
        <w:rPr>
          <w:sz w:val="24"/>
          <w:szCs w:val="24"/>
        </w:rPr>
      </w:pPr>
      <w:r w:rsidRPr="00CF472C">
        <w:rPr>
          <w:sz w:val="24"/>
          <w:szCs w:val="24"/>
        </w:rPr>
        <w:t xml:space="preserve">Philosophy 2390 (new course requesting </w:t>
      </w:r>
      <w:r w:rsidR="002C5FE9">
        <w:rPr>
          <w:sz w:val="24"/>
          <w:szCs w:val="24"/>
        </w:rPr>
        <w:t>GEN Theme: Citizenship for a Diverse and Just World</w:t>
      </w:r>
      <w:r w:rsidRPr="00CF472C">
        <w:rPr>
          <w:sz w:val="24"/>
          <w:szCs w:val="24"/>
        </w:rPr>
        <w:t>)</w:t>
      </w:r>
    </w:p>
    <w:p w14:paraId="3AA9E57E" w14:textId="2AF14EF7" w:rsidR="003D4885" w:rsidRPr="00BE3E5D" w:rsidRDefault="00025CAD" w:rsidP="00BE3E5D">
      <w:pPr>
        <w:numPr>
          <w:ilvl w:val="1"/>
          <w:numId w:val="5"/>
        </w:numPr>
        <w:rPr>
          <w:sz w:val="24"/>
          <w:szCs w:val="24"/>
        </w:rPr>
      </w:pPr>
      <w:r>
        <w:rPr>
          <w:b/>
          <w:bCs/>
          <w:sz w:val="24"/>
          <w:szCs w:val="24"/>
        </w:rPr>
        <w:t xml:space="preserve">The Panel requests that the department reach out to Randy Smith (Vice-Provost for Academic Programs) and Katie Reed (Executive Assistant to </w:t>
      </w:r>
      <w:r w:rsidR="003E6A6F">
        <w:rPr>
          <w:b/>
          <w:bCs/>
          <w:sz w:val="24"/>
          <w:szCs w:val="24"/>
        </w:rPr>
        <w:t xml:space="preserve">the </w:t>
      </w:r>
      <w:r>
        <w:rPr>
          <w:b/>
          <w:bCs/>
          <w:sz w:val="24"/>
          <w:szCs w:val="24"/>
        </w:rPr>
        <w:t xml:space="preserve">Vice-Provost for Academic Programs) in the Office of Academic Affairs in order to seek a concurrence from OAA.  </w:t>
      </w:r>
      <w:r w:rsidR="006534B4">
        <w:rPr>
          <w:b/>
          <w:bCs/>
          <w:sz w:val="24"/>
          <w:szCs w:val="24"/>
        </w:rPr>
        <w:t xml:space="preserve">This is a part of OAA rules as outlined in their handbook (found on page 95 under “Established Consultations/Concurrences Needed for Courses in Specific Areas of Study”).  The OAA handbook is available here:  </w:t>
      </w:r>
      <w:hyperlink r:id="rId5" w:history="1">
        <w:r w:rsidR="006534B4" w:rsidRPr="002375D9">
          <w:rPr>
            <w:rStyle w:val="Hyperlink"/>
            <w:b/>
            <w:bCs/>
            <w:sz w:val="24"/>
            <w:szCs w:val="24"/>
          </w:rPr>
          <w:t>https://asccas.osu.edu/curriculum/oaa-manual</w:t>
        </w:r>
      </w:hyperlink>
      <w:r w:rsidR="006534B4">
        <w:rPr>
          <w:b/>
          <w:bCs/>
          <w:sz w:val="24"/>
          <w:szCs w:val="24"/>
        </w:rPr>
        <w:t xml:space="preserve"> </w:t>
      </w:r>
    </w:p>
    <w:p w14:paraId="58039139" w14:textId="3ED07A65" w:rsidR="00077FDF" w:rsidRPr="00CF472C" w:rsidRDefault="00F1250B" w:rsidP="003A2B94">
      <w:pPr>
        <w:numPr>
          <w:ilvl w:val="1"/>
          <w:numId w:val="5"/>
        </w:numPr>
        <w:rPr>
          <w:sz w:val="24"/>
          <w:szCs w:val="24"/>
        </w:rPr>
      </w:pPr>
      <w:r>
        <w:rPr>
          <w:sz w:val="24"/>
          <w:szCs w:val="24"/>
        </w:rPr>
        <w:t>Steinmetz</w:t>
      </w:r>
      <w:r w:rsidR="00077FDF">
        <w:rPr>
          <w:sz w:val="24"/>
          <w:szCs w:val="24"/>
        </w:rPr>
        <w:t xml:space="preserve">, </w:t>
      </w:r>
      <w:r>
        <w:rPr>
          <w:sz w:val="24"/>
          <w:szCs w:val="24"/>
        </w:rPr>
        <w:t>Paulsen</w:t>
      </w:r>
      <w:r w:rsidR="00077FDF">
        <w:rPr>
          <w:sz w:val="24"/>
          <w:szCs w:val="24"/>
        </w:rPr>
        <w:t xml:space="preserve">; </w:t>
      </w:r>
      <w:r>
        <w:rPr>
          <w:b/>
          <w:bCs/>
          <w:sz w:val="24"/>
          <w:szCs w:val="24"/>
        </w:rPr>
        <w:t xml:space="preserve">unanimously approved </w:t>
      </w:r>
      <w:r>
        <w:rPr>
          <w:sz w:val="24"/>
          <w:szCs w:val="24"/>
        </w:rPr>
        <w:t xml:space="preserve">with </w:t>
      </w:r>
      <w:r>
        <w:rPr>
          <w:b/>
          <w:bCs/>
          <w:sz w:val="24"/>
          <w:szCs w:val="24"/>
        </w:rPr>
        <w:t xml:space="preserve">one (1) contingency </w:t>
      </w:r>
      <w:r>
        <w:rPr>
          <w:sz w:val="24"/>
          <w:szCs w:val="24"/>
        </w:rPr>
        <w:t>(in bold above)</w:t>
      </w:r>
    </w:p>
    <w:p w14:paraId="4DABDF11" w14:textId="4793734F" w:rsidR="00CF472C" w:rsidRDefault="00CF472C" w:rsidP="003A2B94">
      <w:pPr>
        <w:numPr>
          <w:ilvl w:val="0"/>
          <w:numId w:val="5"/>
        </w:numPr>
        <w:rPr>
          <w:sz w:val="24"/>
          <w:szCs w:val="24"/>
        </w:rPr>
      </w:pPr>
      <w:r w:rsidRPr="00CF472C">
        <w:rPr>
          <w:sz w:val="24"/>
          <w:szCs w:val="24"/>
        </w:rPr>
        <w:lastRenderedPageBreak/>
        <w:t>History 2675 (existing course with GEL Historical Study and Diversity—Global Studies &amp; GEN Foundation Historical and Cultural Studies; requesting 100% DL)</w:t>
      </w:r>
    </w:p>
    <w:p w14:paraId="116793D4" w14:textId="1215A120" w:rsidR="002646DA" w:rsidRDefault="002646DA" w:rsidP="002646DA">
      <w:pPr>
        <w:numPr>
          <w:ilvl w:val="1"/>
          <w:numId w:val="5"/>
        </w:numPr>
        <w:rPr>
          <w:sz w:val="24"/>
          <w:szCs w:val="24"/>
        </w:rPr>
      </w:pPr>
      <w:r>
        <w:rPr>
          <w:i/>
          <w:iCs/>
          <w:sz w:val="24"/>
          <w:szCs w:val="24"/>
        </w:rPr>
        <w:t xml:space="preserve">The Panel recommends </w:t>
      </w:r>
      <w:r w:rsidR="004E7785">
        <w:rPr>
          <w:i/>
          <w:iCs/>
          <w:sz w:val="24"/>
          <w:szCs w:val="24"/>
        </w:rPr>
        <w:t>revising</w:t>
      </w:r>
      <w:r>
        <w:rPr>
          <w:i/>
          <w:iCs/>
          <w:sz w:val="24"/>
          <w:szCs w:val="24"/>
        </w:rPr>
        <w:t xml:space="preserve"> the course to a fully asynchronous model,</w:t>
      </w:r>
      <w:r w:rsidR="001A299B">
        <w:rPr>
          <w:i/>
          <w:iCs/>
          <w:sz w:val="24"/>
          <w:szCs w:val="24"/>
        </w:rPr>
        <w:t xml:space="preserve"> no longer including synchronous elements (optional or otherwise).  If the course is listed as asynchronous yet also has synchronous elements</w:t>
      </w:r>
      <w:r w:rsidR="004E7785">
        <w:rPr>
          <w:i/>
          <w:iCs/>
          <w:sz w:val="24"/>
          <w:szCs w:val="24"/>
        </w:rPr>
        <w:t xml:space="preserve"> (for example, the Tuesday/Thursday 9:30-10:50 a.m. course meetings mentioned on page 4 of the syllabus)</w:t>
      </w:r>
      <w:r w:rsidR="001A299B">
        <w:rPr>
          <w:i/>
          <w:iCs/>
          <w:sz w:val="24"/>
          <w:szCs w:val="24"/>
        </w:rPr>
        <w:t xml:space="preserve">, students who might want to take part in the synchronous material could potentially have already scheduled another class over that time block, thus missing </w:t>
      </w:r>
      <w:r w:rsidR="004E7785">
        <w:rPr>
          <w:i/>
          <w:iCs/>
          <w:sz w:val="24"/>
          <w:szCs w:val="24"/>
        </w:rPr>
        <w:t>the</w:t>
      </w:r>
      <w:r w:rsidR="001A299B">
        <w:rPr>
          <w:i/>
          <w:iCs/>
          <w:sz w:val="24"/>
          <w:szCs w:val="24"/>
        </w:rPr>
        <w:t xml:space="preserve"> opportunity to participate.</w:t>
      </w:r>
    </w:p>
    <w:p w14:paraId="251BA239" w14:textId="7427704D" w:rsidR="007508EE" w:rsidRDefault="00A22D1C" w:rsidP="003A2B94">
      <w:pPr>
        <w:numPr>
          <w:ilvl w:val="1"/>
          <w:numId w:val="5"/>
        </w:numPr>
        <w:rPr>
          <w:sz w:val="24"/>
          <w:szCs w:val="24"/>
        </w:rPr>
      </w:pPr>
      <w:r>
        <w:rPr>
          <w:i/>
          <w:iCs/>
          <w:sz w:val="24"/>
          <w:szCs w:val="24"/>
        </w:rPr>
        <w:t>On page 4 of the syllabus document, the Panel kindly notes that there is a typo in the first paragraph:  “2 Credit hours and work expectations” should instead read “3 Credit hours and work expectations.”</w:t>
      </w:r>
    </w:p>
    <w:p w14:paraId="306CD014" w14:textId="45E10CD9" w:rsidR="00CE1C27" w:rsidRDefault="00D90091" w:rsidP="003A2B94">
      <w:pPr>
        <w:numPr>
          <w:ilvl w:val="1"/>
          <w:numId w:val="5"/>
        </w:numPr>
        <w:rPr>
          <w:sz w:val="24"/>
          <w:szCs w:val="24"/>
        </w:rPr>
      </w:pPr>
      <w:r>
        <w:rPr>
          <w:i/>
          <w:iCs/>
          <w:sz w:val="24"/>
          <w:szCs w:val="24"/>
        </w:rPr>
        <w:t xml:space="preserve">The Panel suggests clarifying in the syllabus where assigned videos will be available for students to access, possibly providing links where applicable (e.g., if the clip in question is on YouTube).  </w:t>
      </w:r>
    </w:p>
    <w:p w14:paraId="1927DFE9" w14:textId="5B4A8692" w:rsidR="00FF13E7" w:rsidRDefault="00710059" w:rsidP="003A2B94">
      <w:pPr>
        <w:numPr>
          <w:ilvl w:val="1"/>
          <w:numId w:val="5"/>
        </w:numPr>
        <w:rPr>
          <w:sz w:val="24"/>
          <w:szCs w:val="24"/>
        </w:rPr>
      </w:pPr>
      <w:r>
        <w:rPr>
          <w:sz w:val="24"/>
          <w:szCs w:val="24"/>
        </w:rPr>
        <w:t>Steinmetz</w:t>
      </w:r>
      <w:r w:rsidR="00FF13E7">
        <w:rPr>
          <w:sz w:val="24"/>
          <w:szCs w:val="24"/>
        </w:rPr>
        <w:t xml:space="preserve">, </w:t>
      </w:r>
      <w:r>
        <w:rPr>
          <w:sz w:val="24"/>
          <w:szCs w:val="24"/>
        </w:rPr>
        <w:t>Diles</w:t>
      </w:r>
      <w:r w:rsidR="00FF13E7">
        <w:rPr>
          <w:sz w:val="24"/>
          <w:szCs w:val="24"/>
        </w:rPr>
        <w:t xml:space="preserve">; </w:t>
      </w:r>
      <w:r>
        <w:rPr>
          <w:b/>
          <w:bCs/>
          <w:sz w:val="24"/>
          <w:szCs w:val="24"/>
        </w:rPr>
        <w:t xml:space="preserve">unanimously approved </w:t>
      </w:r>
      <w:r>
        <w:rPr>
          <w:sz w:val="24"/>
          <w:szCs w:val="24"/>
        </w:rPr>
        <w:t xml:space="preserve">with </w:t>
      </w:r>
      <w:r>
        <w:rPr>
          <w:i/>
          <w:iCs/>
          <w:sz w:val="24"/>
          <w:szCs w:val="24"/>
        </w:rPr>
        <w:t xml:space="preserve">three (3) recommendations </w:t>
      </w:r>
      <w:r>
        <w:rPr>
          <w:sz w:val="24"/>
          <w:szCs w:val="24"/>
        </w:rPr>
        <w:t>(in italics above)</w:t>
      </w:r>
    </w:p>
    <w:p w14:paraId="55996BB6" w14:textId="6EF898EC" w:rsidR="00CF472C" w:rsidRDefault="00CF472C" w:rsidP="003A2B94">
      <w:pPr>
        <w:numPr>
          <w:ilvl w:val="0"/>
          <w:numId w:val="5"/>
        </w:numPr>
        <w:rPr>
          <w:sz w:val="24"/>
          <w:szCs w:val="24"/>
        </w:rPr>
      </w:pPr>
      <w:r w:rsidRPr="00CF472C">
        <w:rPr>
          <w:sz w:val="24"/>
          <w:szCs w:val="24"/>
        </w:rPr>
        <w:t>History 2046 (new course requesting GEN Foundation REGD)</w:t>
      </w:r>
    </w:p>
    <w:p w14:paraId="0C43D298" w14:textId="3F0DDCCC" w:rsidR="00242C05" w:rsidRPr="00242C05" w:rsidRDefault="00242C05" w:rsidP="00242C05">
      <w:pPr>
        <w:numPr>
          <w:ilvl w:val="1"/>
          <w:numId w:val="5"/>
        </w:numPr>
        <w:rPr>
          <w:sz w:val="24"/>
          <w:szCs w:val="24"/>
        </w:rPr>
      </w:pPr>
      <w:r>
        <w:rPr>
          <w:b/>
          <w:bCs/>
          <w:sz w:val="24"/>
          <w:szCs w:val="24"/>
        </w:rPr>
        <w:t>The Panel kindly request</w:t>
      </w:r>
      <w:r w:rsidR="005F24A3">
        <w:rPr>
          <w:b/>
          <w:bCs/>
          <w:sz w:val="24"/>
          <w:szCs w:val="24"/>
        </w:rPr>
        <w:t xml:space="preserve">s that the department remove the GEN Foundations:  Historical and Cultural Studies Goals and ELOs from the syllabus document (page 3), as the curriculum.osu.edu form does not indicate that this course is requesting designation in this GEN category.  </w:t>
      </w:r>
    </w:p>
    <w:p w14:paraId="5FD66DFB" w14:textId="2513559E" w:rsidR="00143EAD" w:rsidRPr="00223C26" w:rsidRDefault="00660638" w:rsidP="00223C26">
      <w:pPr>
        <w:numPr>
          <w:ilvl w:val="1"/>
          <w:numId w:val="5"/>
        </w:numPr>
        <w:rPr>
          <w:sz w:val="24"/>
          <w:szCs w:val="24"/>
        </w:rPr>
      </w:pPr>
      <w:r>
        <w:rPr>
          <w:rFonts w:eastAsia="Times New Roman"/>
          <w:i/>
          <w:iCs/>
          <w:sz w:val="24"/>
          <w:szCs w:val="24"/>
        </w:rPr>
        <w:t>The Panel recommends including the number of credit hours for the course in the body of the syllabus document (perhaps on page 1 with the other basic information provided about the class).</w:t>
      </w:r>
    </w:p>
    <w:p w14:paraId="4A32B6C0" w14:textId="41DFD7F9" w:rsidR="00A638E8" w:rsidRDefault="001855B3" w:rsidP="003A2B94">
      <w:pPr>
        <w:numPr>
          <w:ilvl w:val="1"/>
          <w:numId w:val="5"/>
        </w:numPr>
        <w:rPr>
          <w:sz w:val="24"/>
          <w:szCs w:val="24"/>
        </w:rPr>
      </w:pPr>
      <w:r>
        <w:rPr>
          <w:sz w:val="24"/>
          <w:szCs w:val="24"/>
        </w:rPr>
        <w:t>Paulsen</w:t>
      </w:r>
      <w:r w:rsidR="00A638E8">
        <w:rPr>
          <w:sz w:val="24"/>
          <w:szCs w:val="24"/>
        </w:rPr>
        <w:t xml:space="preserve">, </w:t>
      </w:r>
      <w:r>
        <w:rPr>
          <w:sz w:val="24"/>
          <w:szCs w:val="24"/>
        </w:rPr>
        <w:t>Diles</w:t>
      </w:r>
      <w:r w:rsidR="00A638E8">
        <w:rPr>
          <w:sz w:val="24"/>
          <w:szCs w:val="24"/>
        </w:rPr>
        <w:t xml:space="preserve">; </w:t>
      </w:r>
      <w:r>
        <w:rPr>
          <w:b/>
          <w:bCs/>
          <w:sz w:val="24"/>
          <w:szCs w:val="24"/>
        </w:rPr>
        <w:t xml:space="preserve">unanimously approved </w:t>
      </w:r>
      <w:r>
        <w:rPr>
          <w:sz w:val="24"/>
          <w:szCs w:val="24"/>
        </w:rPr>
        <w:t xml:space="preserve">with </w:t>
      </w:r>
      <w:r>
        <w:rPr>
          <w:b/>
          <w:bCs/>
          <w:sz w:val="24"/>
          <w:szCs w:val="24"/>
        </w:rPr>
        <w:t xml:space="preserve">one (1) contingency </w:t>
      </w:r>
      <w:r>
        <w:rPr>
          <w:sz w:val="24"/>
          <w:szCs w:val="24"/>
        </w:rPr>
        <w:t xml:space="preserve">(in bold above) and </w:t>
      </w:r>
      <w:r w:rsidR="00223C26">
        <w:rPr>
          <w:i/>
          <w:iCs/>
          <w:sz w:val="24"/>
          <w:szCs w:val="24"/>
        </w:rPr>
        <w:t>one</w:t>
      </w:r>
      <w:r>
        <w:rPr>
          <w:i/>
          <w:iCs/>
          <w:sz w:val="24"/>
          <w:szCs w:val="24"/>
        </w:rPr>
        <w:t xml:space="preserve"> (</w:t>
      </w:r>
      <w:r w:rsidR="00223C26">
        <w:rPr>
          <w:i/>
          <w:iCs/>
          <w:sz w:val="24"/>
          <w:szCs w:val="24"/>
        </w:rPr>
        <w:t>1</w:t>
      </w:r>
      <w:r>
        <w:rPr>
          <w:i/>
          <w:iCs/>
          <w:sz w:val="24"/>
          <w:szCs w:val="24"/>
        </w:rPr>
        <w:t xml:space="preserve">) recommendation </w:t>
      </w:r>
      <w:r>
        <w:rPr>
          <w:sz w:val="24"/>
          <w:szCs w:val="24"/>
        </w:rPr>
        <w:t xml:space="preserve">(in italics above) </w:t>
      </w:r>
    </w:p>
    <w:p w14:paraId="79C60B77" w14:textId="4C68F4C0" w:rsidR="00CF472C" w:rsidRDefault="00CF472C" w:rsidP="003A2B94">
      <w:pPr>
        <w:numPr>
          <w:ilvl w:val="0"/>
          <w:numId w:val="5"/>
        </w:numPr>
        <w:rPr>
          <w:sz w:val="24"/>
          <w:szCs w:val="24"/>
        </w:rPr>
      </w:pPr>
      <w:r w:rsidRPr="00CF472C">
        <w:rPr>
          <w:sz w:val="24"/>
          <w:szCs w:val="24"/>
        </w:rPr>
        <w:t>History 2702 (</w:t>
      </w:r>
      <w:bookmarkStart w:id="0" w:name="x_x_x__Hlk95655565"/>
      <w:bookmarkEnd w:id="0"/>
      <w:r w:rsidRPr="00CF472C">
        <w:rPr>
          <w:sz w:val="24"/>
          <w:szCs w:val="24"/>
        </w:rPr>
        <w:t>existing course with GEL Historical Study and GEL Diversity—Global Studies &amp; GEN Theme: Sustainability; requesting 100% DL)</w:t>
      </w:r>
    </w:p>
    <w:p w14:paraId="71823D5E" w14:textId="18F0BD25" w:rsidR="00A6046C" w:rsidRDefault="009E4BE7" w:rsidP="003A2B94">
      <w:pPr>
        <w:numPr>
          <w:ilvl w:val="1"/>
          <w:numId w:val="5"/>
        </w:numPr>
        <w:rPr>
          <w:sz w:val="24"/>
          <w:szCs w:val="24"/>
        </w:rPr>
      </w:pPr>
      <w:r>
        <w:rPr>
          <w:i/>
          <w:iCs/>
          <w:sz w:val="24"/>
          <w:szCs w:val="24"/>
        </w:rPr>
        <w:t xml:space="preserve">The Panel kindly notes that GEN Theme: Sustainability ELO 1.2 is missing from the breakdown that appears on page 3 of the syllabus document (N.B. ELO 1.2 does, however, appear in the chart following the Goals/ELOs breakdown on page 4). </w:t>
      </w:r>
    </w:p>
    <w:p w14:paraId="10A6D7FB" w14:textId="6BC43604" w:rsidR="00C8318D" w:rsidRPr="00C951C4" w:rsidRDefault="004A4F1C" w:rsidP="003A2B94">
      <w:pPr>
        <w:numPr>
          <w:ilvl w:val="1"/>
          <w:numId w:val="5"/>
        </w:numPr>
        <w:rPr>
          <w:sz w:val="24"/>
          <w:szCs w:val="24"/>
        </w:rPr>
      </w:pPr>
      <w:r>
        <w:rPr>
          <w:sz w:val="24"/>
          <w:szCs w:val="24"/>
        </w:rPr>
        <w:t>Steinmetz</w:t>
      </w:r>
      <w:r w:rsidR="00804C5C">
        <w:rPr>
          <w:sz w:val="24"/>
          <w:szCs w:val="24"/>
        </w:rPr>
        <w:t xml:space="preserve">, </w:t>
      </w:r>
      <w:r>
        <w:rPr>
          <w:sz w:val="24"/>
          <w:szCs w:val="24"/>
        </w:rPr>
        <w:t>Paulsen</w:t>
      </w:r>
      <w:r w:rsidR="00804C5C">
        <w:rPr>
          <w:sz w:val="24"/>
          <w:szCs w:val="24"/>
        </w:rPr>
        <w:t xml:space="preserve">; </w:t>
      </w:r>
      <w:r>
        <w:rPr>
          <w:b/>
          <w:bCs/>
          <w:sz w:val="24"/>
          <w:szCs w:val="24"/>
        </w:rPr>
        <w:t xml:space="preserve">unanimously approved </w:t>
      </w:r>
      <w:r>
        <w:rPr>
          <w:sz w:val="24"/>
          <w:szCs w:val="24"/>
        </w:rPr>
        <w:t xml:space="preserve">with </w:t>
      </w:r>
      <w:r>
        <w:rPr>
          <w:i/>
          <w:iCs/>
          <w:sz w:val="24"/>
          <w:szCs w:val="24"/>
        </w:rPr>
        <w:t xml:space="preserve">one (1) recommendation </w:t>
      </w:r>
      <w:r>
        <w:rPr>
          <w:sz w:val="24"/>
          <w:szCs w:val="24"/>
        </w:rPr>
        <w:t>(in italics above)</w:t>
      </w:r>
    </w:p>
    <w:sectPr w:rsidR="00C8318D" w:rsidRPr="00C95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4656"/>
    <w:multiLevelType w:val="hybridMultilevel"/>
    <w:tmpl w:val="FDCC30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F3416"/>
    <w:multiLevelType w:val="multilevel"/>
    <w:tmpl w:val="3B963CC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F83C64"/>
    <w:multiLevelType w:val="multilevel"/>
    <w:tmpl w:val="9AF074A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Wingdings" w:hAnsi="Wingding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A383C87"/>
    <w:multiLevelType w:val="hybridMultilevel"/>
    <w:tmpl w:val="C77EC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9E3C6B"/>
    <w:multiLevelType w:val="multilevel"/>
    <w:tmpl w:val="34E0D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C3078F"/>
    <w:multiLevelType w:val="hybridMultilevel"/>
    <w:tmpl w:val="55ACFC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700EF9"/>
    <w:multiLevelType w:val="multilevel"/>
    <w:tmpl w:val="31D06DB0"/>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num w:numId="1" w16cid:durableId="892889585">
    <w:abstractNumId w:val="4"/>
  </w:num>
  <w:num w:numId="2" w16cid:durableId="468086574">
    <w:abstractNumId w:val="1"/>
  </w:num>
  <w:num w:numId="3" w16cid:durableId="821317076">
    <w:abstractNumId w:val="2"/>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840745">
    <w:abstractNumId w:val="5"/>
  </w:num>
  <w:num w:numId="5" w16cid:durableId="1090388901">
    <w:abstractNumId w:val="0"/>
  </w:num>
  <w:num w:numId="6" w16cid:durableId="1111969625">
    <w:abstractNumId w:val="6"/>
  </w:num>
  <w:num w:numId="7" w16cid:durableId="17403959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72C"/>
    <w:rsid w:val="00025CAD"/>
    <w:rsid w:val="00067850"/>
    <w:rsid w:val="00077FDF"/>
    <w:rsid w:val="00091CD4"/>
    <w:rsid w:val="000A431F"/>
    <w:rsid w:val="000B2D18"/>
    <w:rsid w:val="00143EAD"/>
    <w:rsid w:val="001855B3"/>
    <w:rsid w:val="001A299B"/>
    <w:rsid w:val="001B2AED"/>
    <w:rsid w:val="001B5FC7"/>
    <w:rsid w:val="001F1F3A"/>
    <w:rsid w:val="00223C26"/>
    <w:rsid w:val="0022786C"/>
    <w:rsid w:val="00227CCC"/>
    <w:rsid w:val="00242C05"/>
    <w:rsid w:val="0026286A"/>
    <w:rsid w:val="00263EBE"/>
    <w:rsid w:val="002646DA"/>
    <w:rsid w:val="0029673D"/>
    <w:rsid w:val="002C5FE9"/>
    <w:rsid w:val="002F14E3"/>
    <w:rsid w:val="003161BA"/>
    <w:rsid w:val="00322DD1"/>
    <w:rsid w:val="003A2B94"/>
    <w:rsid w:val="003D4885"/>
    <w:rsid w:val="003E6A6F"/>
    <w:rsid w:val="0040635F"/>
    <w:rsid w:val="004119A0"/>
    <w:rsid w:val="00414828"/>
    <w:rsid w:val="00440F24"/>
    <w:rsid w:val="004754C4"/>
    <w:rsid w:val="004A4F1C"/>
    <w:rsid w:val="004E7785"/>
    <w:rsid w:val="00543BCE"/>
    <w:rsid w:val="00563499"/>
    <w:rsid w:val="00566A80"/>
    <w:rsid w:val="00586BE7"/>
    <w:rsid w:val="005E3FA6"/>
    <w:rsid w:val="005F24A3"/>
    <w:rsid w:val="006534B4"/>
    <w:rsid w:val="00660638"/>
    <w:rsid w:val="0068793F"/>
    <w:rsid w:val="00710059"/>
    <w:rsid w:val="00721456"/>
    <w:rsid w:val="007508EE"/>
    <w:rsid w:val="0075215F"/>
    <w:rsid w:val="007606E0"/>
    <w:rsid w:val="00784D94"/>
    <w:rsid w:val="00804C5C"/>
    <w:rsid w:val="008340DB"/>
    <w:rsid w:val="00866F1D"/>
    <w:rsid w:val="008C2DAD"/>
    <w:rsid w:val="008E0B02"/>
    <w:rsid w:val="00914469"/>
    <w:rsid w:val="009645C4"/>
    <w:rsid w:val="00974119"/>
    <w:rsid w:val="009B66BC"/>
    <w:rsid w:val="009C0E41"/>
    <w:rsid w:val="009E4BE7"/>
    <w:rsid w:val="00A22D1C"/>
    <w:rsid w:val="00A33F71"/>
    <w:rsid w:val="00A6046C"/>
    <w:rsid w:val="00A638E8"/>
    <w:rsid w:val="00B60462"/>
    <w:rsid w:val="00BE3A19"/>
    <w:rsid w:val="00BE3E5D"/>
    <w:rsid w:val="00C0343B"/>
    <w:rsid w:val="00C24382"/>
    <w:rsid w:val="00C8318D"/>
    <w:rsid w:val="00C951C4"/>
    <w:rsid w:val="00C96FBD"/>
    <w:rsid w:val="00CB594A"/>
    <w:rsid w:val="00CE1C27"/>
    <w:rsid w:val="00CF1285"/>
    <w:rsid w:val="00CF472C"/>
    <w:rsid w:val="00CF4B4E"/>
    <w:rsid w:val="00CF7811"/>
    <w:rsid w:val="00D60384"/>
    <w:rsid w:val="00D90091"/>
    <w:rsid w:val="00D965AF"/>
    <w:rsid w:val="00DB3498"/>
    <w:rsid w:val="00DE2A46"/>
    <w:rsid w:val="00E05925"/>
    <w:rsid w:val="00E17E49"/>
    <w:rsid w:val="00E36C22"/>
    <w:rsid w:val="00E4173F"/>
    <w:rsid w:val="00E8121E"/>
    <w:rsid w:val="00ED3917"/>
    <w:rsid w:val="00EE7AAB"/>
    <w:rsid w:val="00F077ED"/>
    <w:rsid w:val="00F1250B"/>
    <w:rsid w:val="00F23ED1"/>
    <w:rsid w:val="00F74569"/>
    <w:rsid w:val="00FA1AD4"/>
    <w:rsid w:val="00FB4676"/>
    <w:rsid w:val="00FE67B2"/>
    <w:rsid w:val="00FF1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5C4D8"/>
  <w15:chartTrackingRefBased/>
  <w15:docId w15:val="{AD9793DC-17BA-4C75-8A5A-EDCFDF75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885"/>
    <w:pPr>
      <w:ind w:left="720"/>
      <w:contextualSpacing/>
    </w:pPr>
  </w:style>
  <w:style w:type="paragraph" w:styleId="Revision">
    <w:name w:val="Revision"/>
    <w:hidden/>
    <w:uiPriority w:val="99"/>
    <w:semiHidden/>
    <w:rsid w:val="004754C4"/>
    <w:pPr>
      <w:spacing w:after="0" w:line="240" w:lineRule="auto"/>
    </w:pPr>
  </w:style>
  <w:style w:type="character" w:styleId="CommentReference">
    <w:name w:val="annotation reference"/>
    <w:basedOn w:val="DefaultParagraphFont"/>
    <w:uiPriority w:val="99"/>
    <w:semiHidden/>
    <w:unhideWhenUsed/>
    <w:rsid w:val="004754C4"/>
    <w:rPr>
      <w:sz w:val="16"/>
      <w:szCs w:val="16"/>
    </w:rPr>
  </w:style>
  <w:style w:type="paragraph" w:styleId="CommentText">
    <w:name w:val="annotation text"/>
    <w:basedOn w:val="Normal"/>
    <w:link w:val="CommentTextChar"/>
    <w:uiPriority w:val="99"/>
    <w:unhideWhenUsed/>
    <w:rsid w:val="004754C4"/>
    <w:pPr>
      <w:spacing w:line="240" w:lineRule="auto"/>
    </w:pPr>
    <w:rPr>
      <w:sz w:val="20"/>
      <w:szCs w:val="20"/>
    </w:rPr>
  </w:style>
  <w:style w:type="character" w:customStyle="1" w:styleId="CommentTextChar">
    <w:name w:val="Comment Text Char"/>
    <w:basedOn w:val="DefaultParagraphFont"/>
    <w:link w:val="CommentText"/>
    <w:uiPriority w:val="99"/>
    <w:rsid w:val="004754C4"/>
    <w:rPr>
      <w:sz w:val="20"/>
      <w:szCs w:val="20"/>
    </w:rPr>
  </w:style>
  <w:style w:type="paragraph" w:styleId="CommentSubject">
    <w:name w:val="annotation subject"/>
    <w:basedOn w:val="CommentText"/>
    <w:next w:val="CommentText"/>
    <w:link w:val="CommentSubjectChar"/>
    <w:uiPriority w:val="99"/>
    <w:semiHidden/>
    <w:unhideWhenUsed/>
    <w:rsid w:val="004754C4"/>
    <w:rPr>
      <w:b/>
      <w:bCs/>
    </w:rPr>
  </w:style>
  <w:style w:type="character" w:customStyle="1" w:styleId="CommentSubjectChar">
    <w:name w:val="Comment Subject Char"/>
    <w:basedOn w:val="CommentTextChar"/>
    <w:link w:val="CommentSubject"/>
    <w:uiPriority w:val="99"/>
    <w:semiHidden/>
    <w:rsid w:val="004754C4"/>
    <w:rPr>
      <w:b/>
      <w:bCs/>
      <w:sz w:val="20"/>
      <w:szCs w:val="20"/>
    </w:rPr>
  </w:style>
  <w:style w:type="character" w:styleId="Hyperlink">
    <w:name w:val="Hyperlink"/>
    <w:basedOn w:val="DefaultParagraphFont"/>
    <w:uiPriority w:val="99"/>
    <w:unhideWhenUsed/>
    <w:rsid w:val="006534B4"/>
    <w:rPr>
      <w:color w:val="0563C1" w:themeColor="hyperlink"/>
      <w:u w:val="single"/>
    </w:rPr>
  </w:style>
  <w:style w:type="character" w:styleId="UnresolvedMention">
    <w:name w:val="Unresolved Mention"/>
    <w:basedOn w:val="DefaultParagraphFont"/>
    <w:uiPriority w:val="99"/>
    <w:semiHidden/>
    <w:unhideWhenUsed/>
    <w:rsid w:val="00653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11692">
      <w:bodyDiv w:val="1"/>
      <w:marLeft w:val="0"/>
      <w:marRight w:val="0"/>
      <w:marTop w:val="0"/>
      <w:marBottom w:val="0"/>
      <w:divBdr>
        <w:top w:val="none" w:sz="0" w:space="0" w:color="auto"/>
        <w:left w:val="none" w:sz="0" w:space="0" w:color="auto"/>
        <w:bottom w:val="none" w:sz="0" w:space="0" w:color="auto"/>
        <w:right w:val="none" w:sz="0" w:space="0" w:color="auto"/>
      </w:divBdr>
    </w:div>
    <w:div w:id="677081464">
      <w:bodyDiv w:val="1"/>
      <w:marLeft w:val="0"/>
      <w:marRight w:val="0"/>
      <w:marTop w:val="0"/>
      <w:marBottom w:val="0"/>
      <w:divBdr>
        <w:top w:val="none" w:sz="0" w:space="0" w:color="auto"/>
        <w:left w:val="none" w:sz="0" w:space="0" w:color="auto"/>
        <w:bottom w:val="none" w:sz="0" w:space="0" w:color="auto"/>
        <w:right w:val="none" w:sz="0" w:space="0" w:color="auto"/>
      </w:divBdr>
    </w:div>
    <w:div w:id="864636362">
      <w:bodyDiv w:val="1"/>
      <w:marLeft w:val="0"/>
      <w:marRight w:val="0"/>
      <w:marTop w:val="0"/>
      <w:marBottom w:val="0"/>
      <w:divBdr>
        <w:top w:val="none" w:sz="0" w:space="0" w:color="auto"/>
        <w:left w:val="none" w:sz="0" w:space="0" w:color="auto"/>
        <w:bottom w:val="none" w:sz="0" w:space="0" w:color="auto"/>
        <w:right w:val="none" w:sz="0" w:space="0" w:color="auto"/>
      </w:divBdr>
    </w:div>
    <w:div w:id="1157040962">
      <w:bodyDiv w:val="1"/>
      <w:marLeft w:val="0"/>
      <w:marRight w:val="0"/>
      <w:marTop w:val="0"/>
      <w:marBottom w:val="0"/>
      <w:divBdr>
        <w:top w:val="none" w:sz="0" w:space="0" w:color="auto"/>
        <w:left w:val="none" w:sz="0" w:space="0" w:color="auto"/>
        <w:bottom w:val="none" w:sz="0" w:space="0" w:color="auto"/>
        <w:right w:val="none" w:sz="0" w:space="0" w:color="auto"/>
      </w:divBdr>
    </w:div>
    <w:div w:id="1369913746">
      <w:bodyDiv w:val="1"/>
      <w:marLeft w:val="0"/>
      <w:marRight w:val="0"/>
      <w:marTop w:val="0"/>
      <w:marBottom w:val="0"/>
      <w:divBdr>
        <w:top w:val="none" w:sz="0" w:space="0" w:color="auto"/>
        <w:left w:val="none" w:sz="0" w:space="0" w:color="auto"/>
        <w:bottom w:val="none" w:sz="0" w:space="0" w:color="auto"/>
        <w:right w:val="none" w:sz="0" w:space="0" w:color="auto"/>
      </w:divBdr>
    </w:div>
    <w:div w:id="170551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sccas.osu.edu/curriculum/oaa-manu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Emily</dc:creator>
  <cp:keywords/>
  <dc:description/>
  <cp:lastModifiedBy>Cody, Emily</cp:lastModifiedBy>
  <cp:revision>3</cp:revision>
  <dcterms:created xsi:type="dcterms:W3CDTF">2022-12-07T20:14:00Z</dcterms:created>
  <dcterms:modified xsi:type="dcterms:W3CDTF">2022-12-07T20:14:00Z</dcterms:modified>
</cp:coreProperties>
</file>